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30" w:rsidRPr="00EC0D57" w:rsidRDefault="00AB1330" w:rsidP="00AB1330">
      <w:pPr>
        <w:spacing w:after="0"/>
        <w:rPr>
          <w:b/>
          <w:color w:val="006600"/>
        </w:rPr>
      </w:pPr>
      <w:r w:rsidRPr="00EC0D57">
        <w:rPr>
          <w:b/>
          <w:color w:val="006600"/>
        </w:rPr>
        <w:t xml:space="preserve">INZIATIVA “SARDEGNA – FRONTE COMUNE” </w:t>
      </w:r>
    </w:p>
    <w:p w:rsidR="00AB1330" w:rsidRDefault="00AB1330" w:rsidP="00AB1330">
      <w:pPr>
        <w:spacing w:after="0"/>
        <w:rPr>
          <w:b/>
          <w:color w:val="006600"/>
        </w:rPr>
      </w:pPr>
      <w:r w:rsidRPr="00CE2846">
        <w:rPr>
          <w:b/>
          <w:color w:val="006600"/>
        </w:rPr>
        <w:t>Interventi a favore del</w:t>
      </w:r>
      <w:r>
        <w:rPr>
          <w:b/>
          <w:color w:val="006600"/>
        </w:rPr>
        <w:t>le Famiglie e dei Liberi Professionisti</w:t>
      </w:r>
    </w:p>
    <w:p w:rsidR="00AB1330" w:rsidRDefault="00AB1330" w:rsidP="00AB1330">
      <w:pPr>
        <w:spacing w:after="0"/>
        <w:rPr>
          <w:b/>
          <w:color w:val="006600"/>
        </w:rPr>
      </w:pPr>
    </w:p>
    <w:p w:rsidR="00AB1330" w:rsidRDefault="00AB1330" w:rsidP="00AB1330">
      <w:pPr>
        <w:spacing w:after="0"/>
        <w:rPr>
          <w:b/>
          <w:color w:val="006600"/>
        </w:rPr>
      </w:pPr>
      <w:r>
        <w:rPr>
          <w:b/>
          <w:color w:val="006600"/>
        </w:rPr>
        <w:t>CARATTERISTICHE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AB1330" w:rsidTr="00AB1330">
        <w:tc>
          <w:tcPr>
            <w:tcW w:w="3227" w:type="dxa"/>
          </w:tcPr>
          <w:p w:rsidR="00AB1330" w:rsidRPr="00EC0D57" w:rsidRDefault="00AB1330" w:rsidP="00AB1330">
            <w:pPr>
              <w:rPr>
                <w:b/>
                <w:color w:val="006600"/>
              </w:rPr>
            </w:pPr>
            <w:r w:rsidRPr="00EC0D57">
              <w:rPr>
                <w:b/>
                <w:color w:val="006600"/>
              </w:rPr>
              <w:t>Cos’è?</w:t>
            </w:r>
          </w:p>
          <w:p w:rsidR="00AB1330" w:rsidRDefault="00AB1330" w:rsidP="00AB1330">
            <w:pPr>
              <w:rPr>
                <w:b/>
                <w:color w:val="006600"/>
              </w:rPr>
            </w:pPr>
          </w:p>
        </w:tc>
        <w:tc>
          <w:tcPr>
            <w:tcW w:w="6551" w:type="dxa"/>
          </w:tcPr>
          <w:p w:rsidR="00AB1330" w:rsidRDefault="00AB1330" w:rsidP="00AB1330">
            <w:pPr>
              <w:jc w:val="both"/>
            </w:pPr>
            <w:r w:rsidRPr="00BA6E01">
              <w:t xml:space="preserve">Apertura di Credito in Conto Corrente Temporanea a 12 mesi </w:t>
            </w:r>
            <w:r w:rsidR="00E50F7B">
              <w:t xml:space="preserve">con possibilità di </w:t>
            </w:r>
            <w:r w:rsidR="00A637F4">
              <w:t>conversione</w:t>
            </w:r>
            <w:r w:rsidRPr="00BA6E01">
              <w:t xml:space="preserve"> in Prestito Personale (19-36 mesi) entro la scadenza</w:t>
            </w:r>
          </w:p>
          <w:p w:rsidR="00AB1330" w:rsidRPr="00BA6E01" w:rsidRDefault="00AB1330" w:rsidP="00AB1330">
            <w:pPr>
              <w:jc w:val="both"/>
            </w:pPr>
          </w:p>
        </w:tc>
      </w:tr>
      <w:tr w:rsidR="00AB1330" w:rsidTr="00AB1330">
        <w:tc>
          <w:tcPr>
            <w:tcW w:w="3227" w:type="dxa"/>
          </w:tcPr>
          <w:p w:rsidR="00AB1330" w:rsidRPr="00EC0D57" w:rsidRDefault="00AB1330" w:rsidP="00AB1330">
            <w:pPr>
              <w:rPr>
                <w:b/>
                <w:color w:val="006600"/>
              </w:rPr>
            </w:pPr>
            <w:r w:rsidRPr="00EC0D57">
              <w:rPr>
                <w:b/>
                <w:color w:val="006600"/>
              </w:rPr>
              <w:t>A chi è rivolto?</w:t>
            </w:r>
          </w:p>
          <w:p w:rsidR="00AB1330" w:rsidRDefault="00AB1330" w:rsidP="00AB1330">
            <w:pPr>
              <w:rPr>
                <w:b/>
                <w:color w:val="006600"/>
              </w:rPr>
            </w:pPr>
          </w:p>
        </w:tc>
        <w:tc>
          <w:tcPr>
            <w:tcW w:w="6551" w:type="dxa"/>
          </w:tcPr>
          <w:p w:rsidR="00AB1330" w:rsidRDefault="00AB1330" w:rsidP="00AB1330">
            <w:pPr>
              <w:jc w:val="both"/>
            </w:pPr>
            <w:r w:rsidRPr="00BA6E01">
              <w:t>Famiglie (consumatori) e Liberi Professionisti che si potrebbero trovare nella necessità di liquidità per le spese di prima necessità, a causa sia delle conseguenze derivanti dalla contingente emergenza sanitaria sia per effetto di alcune recenti situazioni congiunturali che hanno</w:t>
            </w:r>
            <w:r>
              <w:t xml:space="preserve"> colpito il mercato del lavoro</w:t>
            </w:r>
          </w:p>
          <w:p w:rsidR="00AB1330" w:rsidRPr="00BA6E01" w:rsidRDefault="00AB1330" w:rsidP="00AB1330">
            <w:pPr>
              <w:jc w:val="both"/>
            </w:pPr>
            <w:r w:rsidRPr="00BA6E01">
              <w:t xml:space="preserve"> </w:t>
            </w:r>
          </w:p>
        </w:tc>
      </w:tr>
      <w:tr w:rsidR="00AB1330" w:rsidTr="00AB1330">
        <w:tc>
          <w:tcPr>
            <w:tcW w:w="3227" w:type="dxa"/>
          </w:tcPr>
          <w:p w:rsidR="00AB1330" w:rsidRPr="00EC0D57" w:rsidRDefault="00AB1330" w:rsidP="00AB1330">
            <w:pPr>
              <w:rPr>
                <w:b/>
                <w:color w:val="006600"/>
              </w:rPr>
            </w:pPr>
            <w:r w:rsidRPr="00EC0D57">
              <w:rPr>
                <w:b/>
                <w:color w:val="006600"/>
              </w:rPr>
              <w:t>Finalità</w:t>
            </w:r>
          </w:p>
          <w:p w:rsidR="00AB1330" w:rsidRDefault="00AB1330" w:rsidP="00AB1330">
            <w:pPr>
              <w:rPr>
                <w:b/>
                <w:color w:val="006600"/>
              </w:rPr>
            </w:pPr>
          </w:p>
        </w:tc>
        <w:tc>
          <w:tcPr>
            <w:tcW w:w="6551" w:type="dxa"/>
          </w:tcPr>
          <w:p w:rsidR="00AB1330" w:rsidRDefault="00AB1330" w:rsidP="00AB1330">
            <w:pPr>
              <w:jc w:val="both"/>
            </w:pPr>
            <w:r w:rsidRPr="00BA6E01">
              <w:t>Liquidità a sostegno del fabbisogno corrente</w:t>
            </w:r>
          </w:p>
        </w:tc>
      </w:tr>
    </w:tbl>
    <w:p w:rsidR="00AB1330" w:rsidRDefault="00AB1330" w:rsidP="00AB1330">
      <w:pPr>
        <w:spacing w:after="0"/>
        <w:rPr>
          <w:b/>
          <w:color w:val="006600"/>
        </w:rPr>
      </w:pPr>
    </w:p>
    <w:p w:rsidR="00AB1330" w:rsidRDefault="00AB1330" w:rsidP="00AB1330">
      <w:pPr>
        <w:spacing w:after="0"/>
        <w:rPr>
          <w:b/>
          <w:color w:val="006600"/>
        </w:rPr>
      </w:pPr>
      <w:r>
        <w:rPr>
          <w:b/>
          <w:color w:val="006600"/>
        </w:rPr>
        <w:t>APERTURA DI CREDITO IN CONTO CORRENTE</w:t>
      </w:r>
    </w:p>
    <w:p w:rsidR="00AB1330" w:rsidRDefault="00AB1330" w:rsidP="00AB1330">
      <w:pPr>
        <w:spacing w:after="0"/>
        <w:rPr>
          <w:b/>
          <w:color w:val="006600"/>
        </w:rPr>
      </w:pPr>
      <w:r>
        <w:rPr>
          <w:b/>
          <w:color w:val="006600"/>
        </w:rPr>
        <w:t>SPECIFICHE TECNICHE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AB1330" w:rsidTr="00AB1330">
        <w:tc>
          <w:tcPr>
            <w:tcW w:w="3227" w:type="dxa"/>
          </w:tcPr>
          <w:p w:rsidR="00AB1330" w:rsidRPr="00C94897" w:rsidRDefault="00AB1330" w:rsidP="00AB1330">
            <w:pPr>
              <w:rPr>
                <w:b/>
                <w:color w:val="006600"/>
              </w:rPr>
            </w:pPr>
            <w:r w:rsidRPr="00C94897">
              <w:rPr>
                <w:b/>
                <w:color w:val="006600"/>
              </w:rPr>
              <w:t>Forma tecnica</w:t>
            </w:r>
          </w:p>
        </w:tc>
        <w:tc>
          <w:tcPr>
            <w:tcW w:w="6551" w:type="dxa"/>
          </w:tcPr>
          <w:p w:rsidR="00AB1330" w:rsidRDefault="00AB1330" w:rsidP="00AB1330">
            <w:r w:rsidRPr="00AB1330">
              <w:t>Apertura di Credito in Conto Corrente</w:t>
            </w:r>
          </w:p>
          <w:p w:rsidR="00AB1330" w:rsidRPr="007624DE" w:rsidRDefault="00AB1330" w:rsidP="00AB1330"/>
        </w:tc>
      </w:tr>
      <w:tr w:rsidR="00AB1330" w:rsidTr="00AB1330">
        <w:tc>
          <w:tcPr>
            <w:tcW w:w="3227" w:type="dxa"/>
          </w:tcPr>
          <w:p w:rsidR="00AB1330" w:rsidRPr="00C94897" w:rsidRDefault="00AB1330" w:rsidP="00AB1330">
            <w:pPr>
              <w:rPr>
                <w:b/>
                <w:color w:val="006600"/>
              </w:rPr>
            </w:pPr>
            <w:r w:rsidRPr="00C94897">
              <w:rPr>
                <w:b/>
                <w:color w:val="006600"/>
              </w:rPr>
              <w:t>Importo massimo finanziabile</w:t>
            </w:r>
          </w:p>
        </w:tc>
        <w:tc>
          <w:tcPr>
            <w:tcW w:w="6551" w:type="dxa"/>
          </w:tcPr>
          <w:p w:rsidR="00AB1330" w:rsidRDefault="00AB1330" w:rsidP="00AB1330">
            <w:r w:rsidRPr="00AB1330">
              <w:t>Importo massimo per singola operazione pari a</w:t>
            </w:r>
            <w:r>
              <w:t>:</w:t>
            </w:r>
          </w:p>
          <w:p w:rsidR="00AB1330" w:rsidRDefault="00AB1330" w:rsidP="00AB1330">
            <w:pPr>
              <w:pStyle w:val="Paragrafoelenco"/>
              <w:numPr>
                <w:ilvl w:val="0"/>
                <w:numId w:val="4"/>
              </w:numPr>
            </w:pPr>
            <w:r w:rsidRPr="00AB1330">
              <w:t>10</w:t>
            </w:r>
            <w:r>
              <w:t>.000</w:t>
            </w:r>
            <w:r w:rsidRPr="00AB1330">
              <w:t xml:space="preserve"> euro per Famiglie (consumatori) </w:t>
            </w:r>
          </w:p>
          <w:p w:rsidR="00AB1330" w:rsidRPr="007624DE" w:rsidRDefault="00AB1330" w:rsidP="00AB1330">
            <w:pPr>
              <w:pStyle w:val="Paragrafoelenco"/>
              <w:numPr>
                <w:ilvl w:val="0"/>
                <w:numId w:val="4"/>
              </w:numPr>
            </w:pPr>
            <w:r w:rsidRPr="00AB1330">
              <w:t>20</w:t>
            </w:r>
            <w:r>
              <w:t>.000</w:t>
            </w:r>
            <w:r w:rsidRPr="00AB1330">
              <w:t xml:space="preserve"> euro per Liberi Professionisti</w:t>
            </w:r>
          </w:p>
        </w:tc>
      </w:tr>
      <w:tr w:rsidR="00AB1330" w:rsidTr="00AB1330">
        <w:tc>
          <w:tcPr>
            <w:tcW w:w="3227" w:type="dxa"/>
          </w:tcPr>
          <w:p w:rsidR="00AB1330" w:rsidRPr="00C94897" w:rsidRDefault="00AB1330" w:rsidP="00AB1330">
            <w:pPr>
              <w:rPr>
                <w:b/>
                <w:color w:val="006600"/>
              </w:rPr>
            </w:pPr>
            <w:r w:rsidRPr="00C94897">
              <w:rPr>
                <w:b/>
                <w:color w:val="006600"/>
              </w:rPr>
              <w:t xml:space="preserve">Durata </w:t>
            </w:r>
          </w:p>
        </w:tc>
        <w:tc>
          <w:tcPr>
            <w:tcW w:w="6551" w:type="dxa"/>
          </w:tcPr>
          <w:p w:rsidR="00AB1330" w:rsidRDefault="00AB1330" w:rsidP="00AB1330">
            <w:r w:rsidRPr="007624DE">
              <w:t>Massimo 12 mesi</w:t>
            </w:r>
          </w:p>
          <w:p w:rsidR="00AB1330" w:rsidRDefault="00AB1330" w:rsidP="00AB1330"/>
        </w:tc>
      </w:tr>
      <w:tr w:rsidR="00AB1330" w:rsidTr="00AB1330">
        <w:trPr>
          <w:trHeight w:val="1483"/>
        </w:trPr>
        <w:tc>
          <w:tcPr>
            <w:tcW w:w="3227" w:type="dxa"/>
          </w:tcPr>
          <w:p w:rsidR="00AB1330" w:rsidRPr="00AB1330" w:rsidRDefault="00AB1330" w:rsidP="00AB1330">
            <w:pPr>
              <w:rPr>
                <w:b/>
                <w:color w:val="006600"/>
              </w:rPr>
            </w:pPr>
            <w:r w:rsidRPr="00AB1330">
              <w:rPr>
                <w:b/>
                <w:color w:val="006600"/>
              </w:rPr>
              <w:t>Rimborso</w:t>
            </w:r>
          </w:p>
        </w:tc>
        <w:tc>
          <w:tcPr>
            <w:tcW w:w="6551" w:type="dxa"/>
          </w:tcPr>
          <w:p w:rsidR="00AB1330" w:rsidRDefault="00AB1330" w:rsidP="00AB1330">
            <w:r w:rsidRPr="001A6F85">
              <w:t>Entro 60 gg antecedenti la scadenza, il cliente dovrà comunicare alla Banca la modalità di rimborso della somma anticipata scelta tra le seguenti opzioni:</w:t>
            </w:r>
          </w:p>
          <w:p w:rsidR="00AB1330" w:rsidRPr="00AB1330" w:rsidRDefault="00AB1330" w:rsidP="00AB1330">
            <w:pPr>
              <w:pStyle w:val="Paragrafoelenco"/>
              <w:numPr>
                <w:ilvl w:val="0"/>
                <w:numId w:val="5"/>
              </w:numPr>
              <w:autoSpaceDE w:val="0"/>
              <w:autoSpaceDN w:val="0"/>
              <w:adjustRightInd w:val="0"/>
              <w:jc w:val="both"/>
              <w:rPr>
                <w:rFonts w:ascii="Trebuchet MS" w:hAnsi="Trebuchet MS" w:cs="Tahoma"/>
                <w:sz w:val="20"/>
                <w:szCs w:val="20"/>
              </w:rPr>
            </w:pPr>
            <w:r w:rsidRPr="00AB1330">
              <w:rPr>
                <w:rFonts w:ascii="Trebuchet MS" w:hAnsi="Trebuchet MS" w:cs="Tahoma"/>
                <w:sz w:val="20"/>
                <w:szCs w:val="20"/>
              </w:rPr>
              <w:t xml:space="preserve">rimborso in un’unica soluzione alla scadenza; </w:t>
            </w:r>
          </w:p>
          <w:p w:rsidR="00AB1330" w:rsidRPr="001A6F85" w:rsidRDefault="00AB1330" w:rsidP="00AB1330">
            <w:pPr>
              <w:pStyle w:val="Paragrafoelenco"/>
              <w:numPr>
                <w:ilvl w:val="0"/>
                <w:numId w:val="5"/>
              </w:numPr>
            </w:pPr>
            <w:r w:rsidRPr="00AB1330">
              <w:rPr>
                <w:rFonts w:ascii="Trebuchet MS" w:hAnsi="Trebuchet MS" w:cs="Tahoma"/>
                <w:sz w:val="20"/>
                <w:szCs w:val="20"/>
              </w:rPr>
              <w:t>conversione in Prestito Personale con le caratteristiche S</w:t>
            </w:r>
            <w:r>
              <w:rPr>
                <w:rFonts w:ascii="Trebuchet MS" w:hAnsi="Trebuchet MS" w:cs="Tahoma"/>
                <w:sz w:val="20"/>
                <w:szCs w:val="20"/>
              </w:rPr>
              <w:t>uccessivamente descritte</w:t>
            </w:r>
          </w:p>
        </w:tc>
      </w:tr>
    </w:tbl>
    <w:p w:rsidR="00AB1330" w:rsidRDefault="00AB1330" w:rsidP="00AB1330">
      <w:pPr>
        <w:spacing w:after="0"/>
        <w:rPr>
          <w:b/>
          <w:color w:val="006600"/>
        </w:rPr>
      </w:pPr>
    </w:p>
    <w:p w:rsidR="00AB1330" w:rsidRDefault="00AB1330" w:rsidP="00AB1330">
      <w:pPr>
        <w:spacing w:after="0"/>
        <w:rPr>
          <w:b/>
          <w:color w:val="006600"/>
        </w:rPr>
      </w:pPr>
      <w:r>
        <w:rPr>
          <w:b/>
          <w:color w:val="006600"/>
        </w:rPr>
        <w:t xml:space="preserve">CONDIZIONI ECONOMICHE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AB1330" w:rsidTr="00AB1330">
        <w:tc>
          <w:tcPr>
            <w:tcW w:w="3227" w:type="dxa"/>
          </w:tcPr>
          <w:p w:rsidR="00AB1330" w:rsidRPr="00C94897" w:rsidRDefault="00AB1330" w:rsidP="00AB1330">
            <w:pPr>
              <w:rPr>
                <w:b/>
                <w:color w:val="006600"/>
              </w:rPr>
            </w:pPr>
            <w:r>
              <w:rPr>
                <w:b/>
                <w:color w:val="006600"/>
              </w:rPr>
              <w:t>Tipologia Tasso</w:t>
            </w:r>
          </w:p>
        </w:tc>
        <w:tc>
          <w:tcPr>
            <w:tcW w:w="6551" w:type="dxa"/>
          </w:tcPr>
          <w:p w:rsidR="00AB1330" w:rsidRDefault="00AB1330" w:rsidP="00AB1330">
            <w:pPr>
              <w:jc w:val="both"/>
            </w:pPr>
            <w:r>
              <w:t>Tasso variabile</w:t>
            </w:r>
          </w:p>
        </w:tc>
      </w:tr>
      <w:tr w:rsidR="00AB1330" w:rsidTr="00AB1330">
        <w:tc>
          <w:tcPr>
            <w:tcW w:w="3227" w:type="dxa"/>
          </w:tcPr>
          <w:p w:rsidR="00AB1330" w:rsidRPr="00C94897" w:rsidRDefault="00AB1330" w:rsidP="0094612C">
            <w:pPr>
              <w:rPr>
                <w:b/>
                <w:color w:val="006600"/>
              </w:rPr>
            </w:pPr>
          </w:p>
        </w:tc>
        <w:tc>
          <w:tcPr>
            <w:tcW w:w="6551" w:type="dxa"/>
          </w:tcPr>
          <w:p w:rsidR="0094612C" w:rsidRDefault="0094612C" w:rsidP="0094612C">
            <w:pPr>
              <w:jc w:val="both"/>
            </w:pPr>
          </w:p>
        </w:tc>
      </w:tr>
      <w:tr w:rsidR="00AB1330" w:rsidTr="00AB1330">
        <w:tc>
          <w:tcPr>
            <w:tcW w:w="3227" w:type="dxa"/>
          </w:tcPr>
          <w:p w:rsidR="00AB1330" w:rsidRPr="00C94897" w:rsidRDefault="00AB1330" w:rsidP="00AB1330">
            <w:pPr>
              <w:rPr>
                <w:b/>
                <w:color w:val="006600"/>
              </w:rPr>
            </w:pPr>
          </w:p>
        </w:tc>
        <w:tc>
          <w:tcPr>
            <w:tcW w:w="6551" w:type="dxa"/>
          </w:tcPr>
          <w:p w:rsidR="00AB1330" w:rsidRDefault="00AB1330" w:rsidP="0094612C">
            <w:pPr>
              <w:jc w:val="both"/>
            </w:pPr>
          </w:p>
        </w:tc>
      </w:tr>
      <w:tr w:rsidR="00AB1330" w:rsidTr="00AB1330">
        <w:tc>
          <w:tcPr>
            <w:tcW w:w="3227" w:type="dxa"/>
          </w:tcPr>
          <w:p w:rsidR="00AB1330" w:rsidRDefault="00AB1330" w:rsidP="00AB1330">
            <w:pPr>
              <w:rPr>
                <w:b/>
                <w:color w:val="006600"/>
              </w:rPr>
            </w:pPr>
            <w:r w:rsidRPr="00C94897">
              <w:rPr>
                <w:b/>
                <w:color w:val="006600"/>
              </w:rPr>
              <w:t>Tassi di interesse, spese e commissioni</w:t>
            </w:r>
          </w:p>
          <w:p w:rsidR="00AB1330" w:rsidRPr="00C94897" w:rsidRDefault="00AB1330" w:rsidP="00AB1330">
            <w:pPr>
              <w:rPr>
                <w:b/>
                <w:color w:val="006600"/>
              </w:rPr>
            </w:pPr>
          </w:p>
        </w:tc>
        <w:tc>
          <w:tcPr>
            <w:tcW w:w="6551" w:type="dxa"/>
          </w:tcPr>
          <w:p w:rsidR="00AB1330" w:rsidRPr="00C94897" w:rsidRDefault="00E50F7B" w:rsidP="00AB1330">
            <w:pPr>
              <w:jc w:val="both"/>
            </w:pPr>
            <w:r>
              <w:t xml:space="preserve">Tasso fisso 2% </w:t>
            </w:r>
          </w:p>
          <w:p w:rsidR="00AB1330" w:rsidRDefault="0094612C" w:rsidP="00AB1330">
            <w:pPr>
              <w:jc w:val="both"/>
            </w:pPr>
            <w:r>
              <w:t>Commissione Disponibilità Fondi (CDF)</w:t>
            </w:r>
            <w:r w:rsidR="00AB1330" w:rsidRPr="00C94897">
              <w:t>: ZERO</w:t>
            </w:r>
          </w:p>
          <w:p w:rsidR="00AB1330" w:rsidRDefault="00AB1330" w:rsidP="00AB1330">
            <w:pPr>
              <w:jc w:val="both"/>
            </w:pPr>
          </w:p>
          <w:p w:rsidR="00AB1330" w:rsidRDefault="00AB1330" w:rsidP="00AB1330">
            <w:pPr>
              <w:jc w:val="both"/>
            </w:pPr>
            <w:r>
              <w:t xml:space="preserve">Per tutte le ulteriori condizioni economiche e contrattuali si rinvia ai fogli informativi a disposizione della clientela in ogni Filiale o su </w:t>
            </w:r>
            <w:hyperlink r:id="rId8" w:history="1">
              <w:r w:rsidRPr="00D92318">
                <w:rPr>
                  <w:rStyle w:val="Collegamentoipertestuale"/>
                </w:rPr>
                <w:t>www.bancosardegna.it</w:t>
              </w:r>
            </w:hyperlink>
          </w:p>
          <w:p w:rsidR="00AB1330" w:rsidRDefault="00AB1330" w:rsidP="00AB1330">
            <w:pPr>
              <w:jc w:val="both"/>
            </w:pPr>
          </w:p>
          <w:p w:rsidR="00AB1330" w:rsidRPr="00C94897" w:rsidRDefault="00AB1330" w:rsidP="00AB1330">
            <w:pPr>
              <w:jc w:val="both"/>
            </w:pPr>
            <w:r>
              <w:t>La Banca si riserva il diritto di subordinare l'accesso al finanziamento ad una valutazione del merito creditizio.</w:t>
            </w:r>
          </w:p>
        </w:tc>
      </w:tr>
    </w:tbl>
    <w:p w:rsidR="00CE2846" w:rsidRDefault="00CE2846" w:rsidP="00CE2846">
      <w:pPr>
        <w:spacing w:after="0"/>
        <w:rPr>
          <w:b/>
          <w:color w:val="006600"/>
        </w:rPr>
      </w:pPr>
    </w:p>
    <w:p w:rsidR="0094612C" w:rsidRDefault="0094612C" w:rsidP="00CE2846">
      <w:pPr>
        <w:spacing w:after="0"/>
        <w:rPr>
          <w:b/>
          <w:color w:val="006600"/>
        </w:rPr>
      </w:pPr>
      <w:r w:rsidRPr="00B759D7">
        <w:rPr>
          <w:rFonts w:ascii="DINPro-Regular" w:hAnsi="DINPro-Regular" w:cstheme="minorHAnsi"/>
          <w:noProof/>
          <w:lang w:eastAsia="it-IT"/>
        </w:rPr>
        <mc:AlternateContent>
          <mc:Choice Requires="wps">
            <w:drawing>
              <wp:anchor distT="0" distB="0" distL="114300" distR="114300" simplePos="0" relativeHeight="251667456" behindDoc="0" locked="0" layoutInCell="1" allowOverlap="1" wp14:anchorId="0F78E9C2" wp14:editId="2CAC79CA">
                <wp:simplePos x="0" y="0"/>
                <wp:positionH relativeFrom="column">
                  <wp:posOffset>-317500</wp:posOffset>
                </wp:positionH>
                <wp:positionV relativeFrom="paragraph">
                  <wp:posOffset>23495</wp:posOffset>
                </wp:positionV>
                <wp:extent cx="4133850" cy="59499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4133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500" w:rsidRDefault="00157500" w:rsidP="00AB1330">
                            <w:pPr>
                              <w:pStyle w:val="Paragrafobase"/>
                              <w:suppressAutoHyphens/>
                              <w:spacing w:line="240" w:lineRule="auto"/>
                              <w:ind w:left="284"/>
                              <w:jc w:val="both"/>
                              <w:rPr>
                                <w:rFonts w:ascii="DINPro-Regular" w:hAnsi="DINPro-Regular" w:cs="NettoOffc"/>
                                <w:sz w:val="14"/>
                              </w:rPr>
                            </w:pPr>
                            <w:r w:rsidRPr="00582FE0">
                              <w:rPr>
                                <w:rFonts w:ascii="DINPro-Regular" w:hAnsi="DINPro-Regular" w:cs="NettoOffc"/>
                                <w:sz w:val="14"/>
                              </w:rPr>
                              <w:t>Messaggio pubblicitario con finalità promozionale. La Banca si riserva il diritto di subordinare l'accesso al finanziamento ad una valutazione del merito creditizio. Per tutte le condizioni contrattuali ed economiche si rinvia ai fogli informativi a disposizione della clientela in ogni Filiale o su</w:t>
                            </w:r>
                            <w:r w:rsidRPr="00B706BB">
                              <w:rPr>
                                <w:rFonts w:ascii="DINPro-Regular" w:hAnsi="DINPro-Regular" w:cs="NettoOffc"/>
                                <w:sz w:val="14"/>
                              </w:rPr>
                              <w:t xml:space="preserve"> </w:t>
                            </w:r>
                            <w:r w:rsidRPr="0045295B">
                              <w:rPr>
                                <w:rFonts w:ascii="DINPro-Regular" w:hAnsi="DINPro-Regular" w:cs="NettoOffc"/>
                                <w:color w:val="0070C0"/>
                                <w:sz w:val="14"/>
                                <w:u w:val="single"/>
                              </w:rPr>
                              <w:t>www.bancosardegna.it</w:t>
                            </w:r>
                            <w:r w:rsidRPr="00B706BB">
                              <w:rPr>
                                <w:rFonts w:ascii="DINPro-Regular" w:hAnsi="DINPro-Regular" w:cs="NettoOffc"/>
                                <w:sz w:val="14"/>
                              </w:rPr>
                              <w:t xml:space="preserve">. </w:t>
                            </w:r>
                            <w:r>
                              <w:rPr>
                                <w:rFonts w:ascii="DINPro-Regular" w:hAnsi="DINPro-Regular" w:cs="NettoOffc"/>
                                <w:sz w:val="14"/>
                              </w:rPr>
                              <w:t xml:space="preserve">Offerta </w:t>
                            </w:r>
                            <w:r w:rsidRPr="00B706BB">
                              <w:rPr>
                                <w:rFonts w:ascii="DINPro-Regular" w:hAnsi="DINPro-Regular" w:cs="NettoOffc"/>
                                <w:sz w:val="14"/>
                              </w:rPr>
                              <w:t>valid</w:t>
                            </w:r>
                            <w:r>
                              <w:rPr>
                                <w:rFonts w:ascii="DINPro-Regular" w:hAnsi="DINPro-Regular" w:cs="NettoOffc"/>
                                <w:sz w:val="14"/>
                              </w:rPr>
                              <w:t>a</w:t>
                            </w:r>
                            <w:r w:rsidRPr="00B706BB">
                              <w:rPr>
                                <w:rFonts w:ascii="DINPro-Regular" w:hAnsi="DINPro-Regular" w:cs="NettoOffc"/>
                                <w:sz w:val="14"/>
                              </w:rPr>
                              <w:t xml:space="preserve"> fino al </w:t>
                            </w:r>
                            <w:r w:rsidRPr="00FF7D09">
                              <w:rPr>
                                <w:rFonts w:ascii="DINPro-Regular" w:hAnsi="DINPro-Regular" w:cs="NettoOffc"/>
                                <w:color w:val="auto"/>
                                <w:sz w:val="14"/>
                              </w:rPr>
                              <w:t>3</w:t>
                            </w:r>
                            <w:r>
                              <w:rPr>
                                <w:rFonts w:ascii="DINPro-Regular" w:hAnsi="DINPro-Regular" w:cs="NettoOffc"/>
                                <w:color w:val="auto"/>
                                <w:sz w:val="14"/>
                              </w:rPr>
                              <w:t>0</w:t>
                            </w:r>
                            <w:r w:rsidRPr="00FF7D09">
                              <w:rPr>
                                <w:rFonts w:ascii="DINPro-Regular" w:hAnsi="DINPro-Regular" w:cs="NettoOffc"/>
                                <w:color w:val="auto"/>
                                <w:sz w:val="14"/>
                              </w:rPr>
                              <w:t>/</w:t>
                            </w:r>
                            <w:r>
                              <w:rPr>
                                <w:rFonts w:ascii="DINPro-Regular" w:hAnsi="DINPro-Regular" w:cs="NettoOffc"/>
                                <w:color w:val="auto"/>
                                <w:sz w:val="14"/>
                              </w:rPr>
                              <w:t>06</w:t>
                            </w:r>
                            <w:r w:rsidRPr="00FF7D09">
                              <w:rPr>
                                <w:rFonts w:ascii="DINPro-Regular" w:hAnsi="DINPro-Regular" w:cs="NettoOffc"/>
                                <w:color w:val="auto"/>
                                <w:sz w:val="14"/>
                              </w:rPr>
                              <w:t>/20</w:t>
                            </w:r>
                            <w:r>
                              <w:rPr>
                                <w:rFonts w:ascii="DINPro-Regular" w:hAnsi="DINPro-Regular" w:cs="NettoOffc"/>
                                <w:color w:val="auto"/>
                                <w:sz w:val="14"/>
                              </w:rPr>
                              <w:t>20</w:t>
                            </w:r>
                            <w:r w:rsidRPr="00FF7D09">
                              <w:rPr>
                                <w:rFonts w:ascii="DINPro-Regular" w:hAnsi="DINPro-Regular" w:cs="NettoOffc"/>
                                <w:color w:val="auto"/>
                                <w:sz w:val="14"/>
                              </w:rPr>
                              <w:t>.</w:t>
                            </w:r>
                          </w:p>
                          <w:p w:rsidR="00157500" w:rsidRPr="003C054D" w:rsidRDefault="00157500" w:rsidP="00AB1330">
                            <w:pPr>
                              <w:pStyle w:val="Paragrafobase"/>
                              <w:suppressAutoHyphens/>
                              <w:spacing w:line="240" w:lineRule="auto"/>
                              <w:ind w:left="284"/>
                              <w:rPr>
                                <w:rFonts w:ascii="DINPro-Regular" w:hAnsi="DINPro-Regular" w:cs="NettoOffc"/>
                                <w:color w:val="FF0000"/>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0" type="#_x0000_t202" style="position:absolute;margin-left:-25pt;margin-top:1.85pt;width:325.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" filled="f" stroked="f" strokeweight=".5pt">
                <v:textbox>
                  <w:txbxContent>
                    <w:p w:rsidR="00157500" w:rsidRDefault="00157500" w:rsidP="00AB1330">
                      <w:pPr>
                        <w:pStyle w:val="Paragrafobase"/>
                        <w:suppressAutoHyphens/>
                        <w:spacing w:line="240" w:lineRule="auto"/>
                        <w:ind w:left="284"/>
                        <w:jc w:val="both"/>
                        <w:rPr>
                          <w:rFonts w:ascii="DINPro-Regular" w:hAnsi="DINPro-Regular" w:cs="NettoOffc"/>
                          <w:sz w:val="14"/>
                        </w:rPr>
                      </w:pPr>
                      <w:r w:rsidRPr="00582FE0">
                        <w:rPr>
                          <w:rFonts w:ascii="DINPro-Regular" w:hAnsi="DINPro-Regular" w:cs="NettoOffc"/>
                          <w:sz w:val="14"/>
                        </w:rPr>
                        <w:t>Messaggio pubblicitario con finalità promozionale. La Banca si riserva il diritto di subordinare l'accesso al finanziamento ad una valutazione del merito creditizio. Per tutte le condizioni contrattuali ed economiche si rinvia ai fogli informativi a disposizione della clientela in ogni Filiale o su</w:t>
                      </w:r>
                      <w:r w:rsidRPr="00B706BB">
                        <w:rPr>
                          <w:rFonts w:ascii="DINPro-Regular" w:hAnsi="DINPro-Regular" w:cs="NettoOffc"/>
                          <w:sz w:val="14"/>
                        </w:rPr>
                        <w:t xml:space="preserve"> </w:t>
                      </w:r>
                      <w:r w:rsidRPr="0045295B">
                        <w:rPr>
                          <w:rFonts w:ascii="DINPro-Regular" w:hAnsi="DINPro-Regular" w:cs="NettoOffc"/>
                          <w:color w:val="0070C0"/>
                          <w:sz w:val="14"/>
                          <w:u w:val="single"/>
                        </w:rPr>
                        <w:t>www.bancosardegna.it</w:t>
                      </w:r>
                      <w:r w:rsidRPr="00B706BB">
                        <w:rPr>
                          <w:rFonts w:ascii="DINPro-Regular" w:hAnsi="DINPro-Regular" w:cs="NettoOffc"/>
                          <w:sz w:val="14"/>
                        </w:rPr>
                        <w:t xml:space="preserve">. </w:t>
                      </w:r>
                      <w:r>
                        <w:rPr>
                          <w:rFonts w:ascii="DINPro-Regular" w:hAnsi="DINPro-Regular" w:cs="NettoOffc"/>
                          <w:sz w:val="14"/>
                        </w:rPr>
                        <w:t xml:space="preserve">Offerta </w:t>
                      </w:r>
                      <w:r w:rsidRPr="00B706BB">
                        <w:rPr>
                          <w:rFonts w:ascii="DINPro-Regular" w:hAnsi="DINPro-Regular" w:cs="NettoOffc"/>
                          <w:sz w:val="14"/>
                        </w:rPr>
                        <w:t>valid</w:t>
                      </w:r>
                      <w:r>
                        <w:rPr>
                          <w:rFonts w:ascii="DINPro-Regular" w:hAnsi="DINPro-Regular" w:cs="NettoOffc"/>
                          <w:sz w:val="14"/>
                        </w:rPr>
                        <w:t>a</w:t>
                      </w:r>
                      <w:r w:rsidRPr="00B706BB">
                        <w:rPr>
                          <w:rFonts w:ascii="DINPro-Regular" w:hAnsi="DINPro-Regular" w:cs="NettoOffc"/>
                          <w:sz w:val="14"/>
                        </w:rPr>
                        <w:t xml:space="preserve"> fino al </w:t>
                      </w:r>
                      <w:r w:rsidRPr="00FF7D09">
                        <w:rPr>
                          <w:rFonts w:ascii="DINPro-Regular" w:hAnsi="DINPro-Regular" w:cs="NettoOffc"/>
                          <w:color w:val="auto"/>
                          <w:sz w:val="14"/>
                        </w:rPr>
                        <w:t>3</w:t>
                      </w:r>
                      <w:r>
                        <w:rPr>
                          <w:rFonts w:ascii="DINPro-Regular" w:hAnsi="DINPro-Regular" w:cs="NettoOffc"/>
                          <w:color w:val="auto"/>
                          <w:sz w:val="14"/>
                        </w:rPr>
                        <w:t>0</w:t>
                      </w:r>
                      <w:r w:rsidRPr="00FF7D09">
                        <w:rPr>
                          <w:rFonts w:ascii="DINPro-Regular" w:hAnsi="DINPro-Regular" w:cs="NettoOffc"/>
                          <w:color w:val="auto"/>
                          <w:sz w:val="14"/>
                        </w:rPr>
                        <w:t>/</w:t>
                      </w:r>
                      <w:r>
                        <w:rPr>
                          <w:rFonts w:ascii="DINPro-Regular" w:hAnsi="DINPro-Regular" w:cs="NettoOffc"/>
                          <w:color w:val="auto"/>
                          <w:sz w:val="14"/>
                        </w:rPr>
                        <w:t>06</w:t>
                      </w:r>
                      <w:r w:rsidRPr="00FF7D09">
                        <w:rPr>
                          <w:rFonts w:ascii="DINPro-Regular" w:hAnsi="DINPro-Regular" w:cs="NettoOffc"/>
                          <w:color w:val="auto"/>
                          <w:sz w:val="14"/>
                        </w:rPr>
                        <w:t>/20</w:t>
                      </w:r>
                      <w:r>
                        <w:rPr>
                          <w:rFonts w:ascii="DINPro-Regular" w:hAnsi="DINPro-Regular" w:cs="NettoOffc"/>
                          <w:color w:val="auto"/>
                          <w:sz w:val="14"/>
                        </w:rPr>
                        <w:t>20</w:t>
                      </w:r>
                      <w:r w:rsidRPr="00FF7D09">
                        <w:rPr>
                          <w:rFonts w:ascii="DINPro-Regular" w:hAnsi="DINPro-Regular" w:cs="NettoOffc"/>
                          <w:color w:val="auto"/>
                          <w:sz w:val="14"/>
                        </w:rPr>
                        <w:t>.</w:t>
                      </w:r>
                    </w:p>
                    <w:p w:rsidR="00157500" w:rsidRPr="003C054D" w:rsidRDefault="00157500" w:rsidP="00AB1330">
                      <w:pPr>
                        <w:pStyle w:val="Paragrafobase"/>
                        <w:suppressAutoHyphens/>
                        <w:spacing w:line="240" w:lineRule="auto"/>
                        <w:ind w:left="284"/>
                        <w:rPr>
                          <w:rFonts w:ascii="DINPro-Regular" w:hAnsi="DINPro-Regular" w:cs="NettoOffc"/>
                          <w:color w:val="FF0000"/>
                          <w:sz w:val="14"/>
                        </w:rPr>
                      </w:pPr>
                    </w:p>
                  </w:txbxContent>
                </v:textbox>
              </v:shape>
            </w:pict>
          </mc:Fallback>
        </mc:AlternateContent>
      </w:r>
    </w:p>
    <w:p w:rsidR="0094612C" w:rsidRDefault="0094612C" w:rsidP="00CE2846">
      <w:pPr>
        <w:spacing w:after="0"/>
        <w:rPr>
          <w:b/>
          <w:color w:val="006600"/>
        </w:rPr>
      </w:pPr>
    </w:p>
    <w:p w:rsidR="0094612C" w:rsidRDefault="0094612C" w:rsidP="00CE2846">
      <w:pPr>
        <w:spacing w:after="0"/>
        <w:rPr>
          <w:b/>
          <w:color w:val="006600"/>
        </w:rPr>
      </w:pPr>
    </w:p>
    <w:p w:rsidR="00CE2846" w:rsidRDefault="00CE2846" w:rsidP="00CE2846">
      <w:pPr>
        <w:spacing w:after="0"/>
        <w:rPr>
          <w:b/>
          <w:color w:val="006600"/>
        </w:rPr>
      </w:pPr>
    </w:p>
    <w:p w:rsidR="00CE2846" w:rsidRDefault="00CE2846" w:rsidP="00CE2846">
      <w:pPr>
        <w:spacing w:after="0"/>
        <w:rPr>
          <w:b/>
          <w:color w:val="006600"/>
        </w:rPr>
      </w:pPr>
    </w:p>
    <w:p w:rsidR="0094612C" w:rsidRDefault="0094612C" w:rsidP="0094612C">
      <w:pPr>
        <w:spacing w:after="0"/>
        <w:rPr>
          <w:b/>
          <w:color w:val="006600"/>
        </w:rPr>
      </w:pPr>
      <w:r>
        <w:rPr>
          <w:b/>
          <w:color w:val="006600"/>
        </w:rPr>
        <w:t>PRESTITO PERSONALE</w:t>
      </w:r>
    </w:p>
    <w:p w:rsidR="0094612C" w:rsidRDefault="0094612C" w:rsidP="0094612C">
      <w:pPr>
        <w:spacing w:after="0"/>
        <w:rPr>
          <w:b/>
          <w:color w:val="006600"/>
        </w:rPr>
      </w:pPr>
      <w:r>
        <w:rPr>
          <w:b/>
          <w:color w:val="006600"/>
        </w:rPr>
        <w:t>SPECIFICHE TECNICHE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94612C" w:rsidTr="0094612C">
        <w:tc>
          <w:tcPr>
            <w:tcW w:w="3227" w:type="dxa"/>
          </w:tcPr>
          <w:p w:rsidR="0094612C" w:rsidRPr="00C94897" w:rsidRDefault="0094612C" w:rsidP="0094612C">
            <w:pPr>
              <w:rPr>
                <w:b/>
                <w:color w:val="006600"/>
              </w:rPr>
            </w:pPr>
            <w:r w:rsidRPr="00C94897">
              <w:rPr>
                <w:b/>
                <w:color w:val="006600"/>
              </w:rPr>
              <w:t>Forma tecnica</w:t>
            </w:r>
          </w:p>
        </w:tc>
        <w:tc>
          <w:tcPr>
            <w:tcW w:w="6551" w:type="dxa"/>
          </w:tcPr>
          <w:p w:rsidR="0094612C" w:rsidRDefault="0094612C" w:rsidP="0094612C">
            <w:r>
              <w:t>Prestito personale</w:t>
            </w:r>
          </w:p>
          <w:p w:rsidR="0094612C" w:rsidRPr="007624DE" w:rsidRDefault="0094612C" w:rsidP="0094612C"/>
        </w:tc>
      </w:tr>
      <w:tr w:rsidR="0094612C" w:rsidTr="0094612C">
        <w:tc>
          <w:tcPr>
            <w:tcW w:w="3227" w:type="dxa"/>
          </w:tcPr>
          <w:p w:rsidR="0094612C" w:rsidRPr="00C94897" w:rsidRDefault="0094612C" w:rsidP="0094612C">
            <w:pPr>
              <w:rPr>
                <w:b/>
                <w:color w:val="006600"/>
              </w:rPr>
            </w:pPr>
            <w:r w:rsidRPr="00C94897">
              <w:rPr>
                <w:b/>
                <w:color w:val="006600"/>
              </w:rPr>
              <w:t>Importo massimo finanziabile</w:t>
            </w:r>
          </w:p>
        </w:tc>
        <w:tc>
          <w:tcPr>
            <w:tcW w:w="6551" w:type="dxa"/>
          </w:tcPr>
          <w:p w:rsidR="0094612C" w:rsidRDefault="0094612C" w:rsidP="0094612C">
            <w:pPr>
              <w:jc w:val="both"/>
            </w:pPr>
            <w:r w:rsidRPr="0094612C">
              <w:t xml:space="preserve">Pari all’utilizzo dell’apertura di credito in c/c temporanea da rimborsare </w:t>
            </w:r>
            <w:r>
              <w:t>e comunque entro i valori di:</w:t>
            </w:r>
          </w:p>
          <w:p w:rsidR="0094612C" w:rsidRDefault="0094612C" w:rsidP="0094612C">
            <w:pPr>
              <w:pStyle w:val="Paragrafoelenco"/>
              <w:numPr>
                <w:ilvl w:val="0"/>
                <w:numId w:val="4"/>
              </w:numPr>
              <w:jc w:val="both"/>
            </w:pPr>
            <w:r w:rsidRPr="00AB1330">
              <w:t>10</w:t>
            </w:r>
            <w:r>
              <w:t>.000</w:t>
            </w:r>
            <w:r w:rsidRPr="00AB1330">
              <w:t xml:space="preserve"> euro per Famiglie (consumatori) </w:t>
            </w:r>
          </w:p>
          <w:p w:rsidR="0094612C" w:rsidRPr="007624DE" w:rsidRDefault="0094612C" w:rsidP="00EF6D21">
            <w:pPr>
              <w:pStyle w:val="Paragrafoelenco"/>
              <w:numPr>
                <w:ilvl w:val="0"/>
                <w:numId w:val="4"/>
              </w:numPr>
              <w:jc w:val="both"/>
            </w:pPr>
            <w:r w:rsidRPr="00AB1330">
              <w:t>20</w:t>
            </w:r>
            <w:r>
              <w:t>.000</w:t>
            </w:r>
            <w:r w:rsidRPr="00AB1330">
              <w:t xml:space="preserve"> euro per Liberi Professionisti</w:t>
            </w:r>
          </w:p>
        </w:tc>
      </w:tr>
      <w:tr w:rsidR="0094612C" w:rsidTr="0094612C">
        <w:tc>
          <w:tcPr>
            <w:tcW w:w="3227" w:type="dxa"/>
          </w:tcPr>
          <w:p w:rsidR="0094612C" w:rsidRPr="00C94897" w:rsidRDefault="0094612C" w:rsidP="0094612C">
            <w:pPr>
              <w:rPr>
                <w:b/>
                <w:color w:val="006600"/>
              </w:rPr>
            </w:pPr>
            <w:r w:rsidRPr="00C94897">
              <w:rPr>
                <w:b/>
                <w:color w:val="006600"/>
              </w:rPr>
              <w:t xml:space="preserve">Durata </w:t>
            </w:r>
            <w:r>
              <w:rPr>
                <w:b/>
                <w:color w:val="006600"/>
              </w:rPr>
              <w:t>minima</w:t>
            </w:r>
          </w:p>
        </w:tc>
        <w:tc>
          <w:tcPr>
            <w:tcW w:w="6551" w:type="dxa"/>
          </w:tcPr>
          <w:p w:rsidR="0094612C" w:rsidRDefault="0094612C" w:rsidP="0094612C">
            <w:r w:rsidRPr="007624DE">
              <w:t>1</w:t>
            </w:r>
            <w:r>
              <w:t>9</w:t>
            </w:r>
            <w:r w:rsidRPr="007624DE">
              <w:t xml:space="preserve"> mesi</w:t>
            </w:r>
          </w:p>
          <w:p w:rsidR="0094612C" w:rsidRDefault="0094612C" w:rsidP="0094612C"/>
        </w:tc>
      </w:tr>
      <w:tr w:rsidR="0094612C" w:rsidTr="0094612C">
        <w:tc>
          <w:tcPr>
            <w:tcW w:w="3227" w:type="dxa"/>
          </w:tcPr>
          <w:p w:rsidR="0094612C" w:rsidRPr="00C94897" w:rsidRDefault="0094612C" w:rsidP="0094612C">
            <w:pPr>
              <w:rPr>
                <w:b/>
                <w:color w:val="006600"/>
              </w:rPr>
            </w:pPr>
            <w:r w:rsidRPr="00C94897">
              <w:rPr>
                <w:b/>
                <w:color w:val="006600"/>
              </w:rPr>
              <w:t xml:space="preserve">Durata </w:t>
            </w:r>
            <w:r>
              <w:rPr>
                <w:b/>
                <w:color w:val="006600"/>
              </w:rPr>
              <w:t>massima</w:t>
            </w:r>
          </w:p>
        </w:tc>
        <w:tc>
          <w:tcPr>
            <w:tcW w:w="6551" w:type="dxa"/>
          </w:tcPr>
          <w:p w:rsidR="0094612C" w:rsidRDefault="0094612C" w:rsidP="0094612C">
            <w:r>
              <w:t>36</w:t>
            </w:r>
            <w:r w:rsidRPr="007624DE">
              <w:t xml:space="preserve"> mesi</w:t>
            </w:r>
          </w:p>
          <w:p w:rsidR="0094612C" w:rsidRDefault="0094612C" w:rsidP="0094612C"/>
        </w:tc>
      </w:tr>
      <w:tr w:rsidR="0094612C" w:rsidTr="0094612C">
        <w:tc>
          <w:tcPr>
            <w:tcW w:w="3227" w:type="dxa"/>
          </w:tcPr>
          <w:p w:rsidR="0094612C" w:rsidRPr="00A26ADD" w:rsidRDefault="0094612C" w:rsidP="0094612C">
            <w:pPr>
              <w:rPr>
                <w:b/>
                <w:color w:val="006600"/>
              </w:rPr>
            </w:pPr>
            <w:r w:rsidRPr="00A26ADD">
              <w:rPr>
                <w:b/>
                <w:color w:val="006600"/>
              </w:rPr>
              <w:t>Tipo piano di ammortamento</w:t>
            </w:r>
          </w:p>
        </w:tc>
        <w:tc>
          <w:tcPr>
            <w:tcW w:w="6551" w:type="dxa"/>
          </w:tcPr>
          <w:p w:rsidR="0094612C" w:rsidRDefault="0094612C" w:rsidP="0094612C">
            <w:r w:rsidRPr="00F14658">
              <w:t>Piano di ammortamento alla Francese</w:t>
            </w:r>
          </w:p>
          <w:p w:rsidR="0094612C" w:rsidRPr="00F14658" w:rsidRDefault="0094612C" w:rsidP="0094612C"/>
        </w:tc>
      </w:tr>
      <w:tr w:rsidR="0094612C" w:rsidTr="0094612C">
        <w:tc>
          <w:tcPr>
            <w:tcW w:w="3227" w:type="dxa"/>
          </w:tcPr>
          <w:p w:rsidR="0094612C" w:rsidRPr="00A26ADD" w:rsidRDefault="0094612C" w:rsidP="0094612C">
            <w:pPr>
              <w:rPr>
                <w:b/>
                <w:color w:val="006600"/>
              </w:rPr>
            </w:pPr>
            <w:r w:rsidRPr="00A26ADD">
              <w:rPr>
                <w:b/>
                <w:color w:val="006600"/>
              </w:rPr>
              <w:t>Tipologia della rata</w:t>
            </w:r>
          </w:p>
        </w:tc>
        <w:tc>
          <w:tcPr>
            <w:tcW w:w="6551" w:type="dxa"/>
          </w:tcPr>
          <w:p w:rsidR="0094612C" w:rsidRDefault="0094612C" w:rsidP="0094612C">
            <w:r w:rsidRPr="00F14658">
              <w:t>Rata costante</w:t>
            </w:r>
          </w:p>
          <w:p w:rsidR="0094612C" w:rsidRPr="00F14658" w:rsidRDefault="0094612C" w:rsidP="0094612C"/>
        </w:tc>
      </w:tr>
      <w:tr w:rsidR="0094612C" w:rsidTr="0094612C">
        <w:tc>
          <w:tcPr>
            <w:tcW w:w="3227" w:type="dxa"/>
          </w:tcPr>
          <w:p w:rsidR="0094612C" w:rsidRPr="00A26ADD" w:rsidRDefault="0094612C" w:rsidP="0094612C">
            <w:pPr>
              <w:rPr>
                <w:b/>
                <w:color w:val="006600"/>
              </w:rPr>
            </w:pPr>
            <w:r w:rsidRPr="00A26ADD">
              <w:rPr>
                <w:b/>
                <w:color w:val="006600"/>
              </w:rPr>
              <w:t>Periodicità della rata</w:t>
            </w:r>
          </w:p>
        </w:tc>
        <w:tc>
          <w:tcPr>
            <w:tcW w:w="6551" w:type="dxa"/>
          </w:tcPr>
          <w:p w:rsidR="0094612C" w:rsidRDefault="0094612C" w:rsidP="0094612C">
            <w:r>
              <w:t>M</w:t>
            </w:r>
            <w:r w:rsidRPr="00F14658">
              <w:t xml:space="preserve">ensile </w:t>
            </w:r>
          </w:p>
        </w:tc>
      </w:tr>
    </w:tbl>
    <w:p w:rsidR="0094612C" w:rsidRDefault="0094612C" w:rsidP="0094612C">
      <w:pPr>
        <w:spacing w:after="0"/>
        <w:rPr>
          <w:b/>
          <w:color w:val="006600"/>
        </w:rPr>
      </w:pPr>
    </w:p>
    <w:p w:rsidR="0094612C" w:rsidRDefault="0094612C" w:rsidP="0094612C">
      <w:pPr>
        <w:spacing w:after="0"/>
        <w:rPr>
          <w:b/>
          <w:color w:val="006600"/>
        </w:rPr>
      </w:pPr>
      <w:r>
        <w:rPr>
          <w:b/>
          <w:color w:val="006600"/>
        </w:rPr>
        <w:t xml:space="preserve">CONDIZIONI ECONOMICHE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551"/>
      </w:tblGrid>
      <w:tr w:rsidR="0094612C" w:rsidTr="0094612C">
        <w:tc>
          <w:tcPr>
            <w:tcW w:w="3227" w:type="dxa"/>
          </w:tcPr>
          <w:p w:rsidR="0094612C" w:rsidRDefault="0094612C" w:rsidP="0094612C">
            <w:pPr>
              <w:rPr>
                <w:b/>
                <w:color w:val="006600"/>
              </w:rPr>
            </w:pPr>
            <w:r w:rsidRPr="00C94897">
              <w:rPr>
                <w:b/>
                <w:color w:val="006600"/>
              </w:rPr>
              <w:t>Tassi di interesse, spese e commissioni</w:t>
            </w:r>
          </w:p>
          <w:p w:rsidR="0094612C" w:rsidRPr="00C94897" w:rsidRDefault="0094612C" w:rsidP="0094612C">
            <w:pPr>
              <w:rPr>
                <w:b/>
                <w:color w:val="006600"/>
              </w:rPr>
            </w:pPr>
          </w:p>
        </w:tc>
        <w:tc>
          <w:tcPr>
            <w:tcW w:w="6551" w:type="dxa"/>
          </w:tcPr>
          <w:p w:rsidR="0094612C" w:rsidRDefault="00E50F7B" w:rsidP="00A637F4">
            <w:pPr>
              <w:jc w:val="both"/>
            </w:pPr>
            <w:r>
              <w:t>T</w:t>
            </w:r>
            <w:r w:rsidR="0094612C">
              <w:t>asso fisso 2</w:t>
            </w:r>
            <w:r w:rsidR="00675423">
              <w:t>,00% (TAN Tasso Annuo Nominale)</w:t>
            </w:r>
            <w:bookmarkStart w:id="0" w:name="_GoBack"/>
            <w:bookmarkEnd w:id="0"/>
          </w:p>
          <w:p w:rsidR="0094612C" w:rsidRPr="00C94897" w:rsidRDefault="0094612C" w:rsidP="0094612C">
            <w:pPr>
              <w:jc w:val="both"/>
            </w:pPr>
          </w:p>
          <w:p w:rsidR="0094612C" w:rsidRDefault="0094612C" w:rsidP="0094612C">
            <w:pPr>
              <w:jc w:val="both"/>
            </w:pPr>
            <w:r w:rsidRPr="00C94897">
              <w:t>Spese di Istruttoria ed estinzione anticipata: ZERO</w:t>
            </w:r>
          </w:p>
          <w:p w:rsidR="0094612C" w:rsidRDefault="0094612C" w:rsidP="0094612C">
            <w:pPr>
              <w:jc w:val="both"/>
            </w:pPr>
          </w:p>
          <w:p w:rsidR="0094612C" w:rsidRDefault="0094612C" w:rsidP="0094612C">
            <w:pPr>
              <w:jc w:val="both"/>
            </w:pPr>
            <w:r>
              <w:t xml:space="preserve">Per tutte le ulteriori condizioni economiche e contrattuali si rinvia ai fogli informativi a disposizione della clientela in ogni Filiale o su </w:t>
            </w:r>
            <w:hyperlink r:id="rId9" w:history="1">
              <w:r w:rsidRPr="00D92318">
                <w:rPr>
                  <w:rStyle w:val="Collegamentoipertestuale"/>
                </w:rPr>
                <w:t>www.bancosardegna.it</w:t>
              </w:r>
            </w:hyperlink>
          </w:p>
          <w:p w:rsidR="0094612C" w:rsidRDefault="0094612C" w:rsidP="0094612C">
            <w:pPr>
              <w:jc w:val="both"/>
            </w:pPr>
          </w:p>
          <w:p w:rsidR="0094612C" w:rsidRPr="00C94897" w:rsidRDefault="0094612C" w:rsidP="0094612C">
            <w:pPr>
              <w:jc w:val="both"/>
            </w:pPr>
            <w:r>
              <w:t>La Banca si riserva il diritto di subordinare l'accesso al finanziamento ad una valutazione del merito creditizio.</w:t>
            </w:r>
          </w:p>
        </w:tc>
      </w:tr>
    </w:tbl>
    <w:p w:rsidR="0094612C" w:rsidRDefault="0094612C" w:rsidP="0094612C">
      <w:pPr>
        <w:spacing w:after="0"/>
        <w:rPr>
          <w:b/>
          <w:color w:val="006600"/>
        </w:rPr>
      </w:pPr>
    </w:p>
    <w:p w:rsidR="0094612C" w:rsidRDefault="0094612C" w:rsidP="0094612C">
      <w:pPr>
        <w:spacing w:after="0"/>
        <w:rPr>
          <w:b/>
          <w:color w:val="006600"/>
        </w:rPr>
      </w:pPr>
      <w:r w:rsidRPr="00B759D7">
        <w:rPr>
          <w:rFonts w:ascii="DINPro-Regular" w:hAnsi="DINPro-Regular" w:cstheme="minorHAnsi"/>
          <w:noProof/>
          <w:lang w:eastAsia="it-IT"/>
        </w:rPr>
        <mc:AlternateContent>
          <mc:Choice Requires="wps">
            <w:drawing>
              <wp:anchor distT="0" distB="0" distL="114300" distR="114300" simplePos="0" relativeHeight="251669504" behindDoc="0" locked="0" layoutInCell="1" allowOverlap="1" wp14:anchorId="3D160545" wp14:editId="10D4FAB7">
                <wp:simplePos x="0" y="0"/>
                <wp:positionH relativeFrom="column">
                  <wp:posOffset>-317500</wp:posOffset>
                </wp:positionH>
                <wp:positionV relativeFrom="paragraph">
                  <wp:posOffset>165735</wp:posOffset>
                </wp:positionV>
                <wp:extent cx="4133850" cy="594995"/>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4133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500" w:rsidRDefault="00157500" w:rsidP="0094612C">
                            <w:pPr>
                              <w:pStyle w:val="Paragrafobase"/>
                              <w:suppressAutoHyphens/>
                              <w:spacing w:line="240" w:lineRule="auto"/>
                              <w:ind w:left="284"/>
                              <w:jc w:val="both"/>
                              <w:rPr>
                                <w:rFonts w:ascii="DINPro-Regular" w:hAnsi="DINPro-Regular" w:cs="NettoOffc"/>
                                <w:sz w:val="14"/>
                              </w:rPr>
                            </w:pPr>
                            <w:r w:rsidRPr="00582FE0">
                              <w:rPr>
                                <w:rFonts w:ascii="DINPro-Regular" w:hAnsi="DINPro-Regular" w:cs="NettoOffc"/>
                                <w:sz w:val="14"/>
                              </w:rPr>
                              <w:t>Messaggio pubblicitario con finalità promozionale. La Banca si riserva il diritto di subordinare l'accesso al finanziamento ad una valutazione del merito creditizio. Per tutte le condizioni contrattuali ed economiche si rinvia ai fogli informativi a disposizione della clientela in ogni Filiale o su</w:t>
                            </w:r>
                            <w:r w:rsidRPr="00B706BB">
                              <w:rPr>
                                <w:rFonts w:ascii="DINPro-Regular" w:hAnsi="DINPro-Regular" w:cs="NettoOffc"/>
                                <w:sz w:val="14"/>
                              </w:rPr>
                              <w:t xml:space="preserve"> </w:t>
                            </w:r>
                            <w:r w:rsidRPr="0045295B">
                              <w:rPr>
                                <w:rFonts w:ascii="DINPro-Regular" w:hAnsi="DINPro-Regular" w:cs="NettoOffc"/>
                                <w:color w:val="0070C0"/>
                                <w:sz w:val="14"/>
                                <w:u w:val="single"/>
                              </w:rPr>
                              <w:t>www.bancosardegna.it</w:t>
                            </w:r>
                            <w:r w:rsidRPr="00B706BB">
                              <w:rPr>
                                <w:rFonts w:ascii="DINPro-Regular" w:hAnsi="DINPro-Regular" w:cs="NettoOffc"/>
                                <w:sz w:val="14"/>
                              </w:rPr>
                              <w:t xml:space="preserve">. </w:t>
                            </w:r>
                            <w:r>
                              <w:rPr>
                                <w:rFonts w:ascii="DINPro-Regular" w:hAnsi="DINPro-Regular" w:cs="NettoOffc"/>
                                <w:sz w:val="14"/>
                              </w:rPr>
                              <w:t xml:space="preserve">Offerta </w:t>
                            </w:r>
                            <w:r w:rsidRPr="00B706BB">
                              <w:rPr>
                                <w:rFonts w:ascii="DINPro-Regular" w:hAnsi="DINPro-Regular" w:cs="NettoOffc"/>
                                <w:sz w:val="14"/>
                              </w:rPr>
                              <w:t>valid</w:t>
                            </w:r>
                            <w:r>
                              <w:rPr>
                                <w:rFonts w:ascii="DINPro-Regular" w:hAnsi="DINPro-Regular" w:cs="NettoOffc"/>
                                <w:sz w:val="14"/>
                              </w:rPr>
                              <w:t>a</w:t>
                            </w:r>
                            <w:r w:rsidRPr="00B706BB">
                              <w:rPr>
                                <w:rFonts w:ascii="DINPro-Regular" w:hAnsi="DINPro-Regular" w:cs="NettoOffc"/>
                                <w:sz w:val="14"/>
                              </w:rPr>
                              <w:t xml:space="preserve"> fino al </w:t>
                            </w:r>
                            <w:r w:rsidRPr="00FF7D09">
                              <w:rPr>
                                <w:rFonts w:ascii="DINPro-Regular" w:hAnsi="DINPro-Regular" w:cs="NettoOffc"/>
                                <w:color w:val="auto"/>
                                <w:sz w:val="14"/>
                              </w:rPr>
                              <w:t>3</w:t>
                            </w:r>
                            <w:r>
                              <w:rPr>
                                <w:rFonts w:ascii="DINPro-Regular" w:hAnsi="DINPro-Regular" w:cs="NettoOffc"/>
                                <w:color w:val="auto"/>
                                <w:sz w:val="14"/>
                              </w:rPr>
                              <w:t>0</w:t>
                            </w:r>
                            <w:r w:rsidRPr="00FF7D09">
                              <w:rPr>
                                <w:rFonts w:ascii="DINPro-Regular" w:hAnsi="DINPro-Regular" w:cs="NettoOffc"/>
                                <w:color w:val="auto"/>
                                <w:sz w:val="14"/>
                              </w:rPr>
                              <w:t>/</w:t>
                            </w:r>
                            <w:r>
                              <w:rPr>
                                <w:rFonts w:ascii="DINPro-Regular" w:hAnsi="DINPro-Regular" w:cs="NettoOffc"/>
                                <w:color w:val="auto"/>
                                <w:sz w:val="14"/>
                              </w:rPr>
                              <w:t>06</w:t>
                            </w:r>
                            <w:r w:rsidRPr="00FF7D09">
                              <w:rPr>
                                <w:rFonts w:ascii="DINPro-Regular" w:hAnsi="DINPro-Regular" w:cs="NettoOffc"/>
                                <w:color w:val="auto"/>
                                <w:sz w:val="14"/>
                              </w:rPr>
                              <w:t>/20</w:t>
                            </w:r>
                            <w:r>
                              <w:rPr>
                                <w:rFonts w:ascii="DINPro-Regular" w:hAnsi="DINPro-Regular" w:cs="NettoOffc"/>
                                <w:color w:val="auto"/>
                                <w:sz w:val="14"/>
                              </w:rPr>
                              <w:t>20</w:t>
                            </w:r>
                            <w:r w:rsidRPr="00FF7D09">
                              <w:rPr>
                                <w:rFonts w:ascii="DINPro-Regular" w:hAnsi="DINPro-Regular" w:cs="NettoOffc"/>
                                <w:color w:val="auto"/>
                                <w:sz w:val="14"/>
                              </w:rPr>
                              <w:t>.</w:t>
                            </w:r>
                          </w:p>
                          <w:p w:rsidR="00157500" w:rsidRPr="003C054D" w:rsidRDefault="00157500" w:rsidP="0094612C">
                            <w:pPr>
                              <w:pStyle w:val="Paragrafobase"/>
                              <w:suppressAutoHyphens/>
                              <w:spacing w:line="240" w:lineRule="auto"/>
                              <w:ind w:left="284"/>
                              <w:rPr>
                                <w:rFonts w:ascii="DINPro-Regular" w:hAnsi="DINPro-Regular" w:cs="NettoOffc"/>
                                <w:color w:val="FF0000"/>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1" type="#_x0000_t202" style="position:absolute;margin-left:-25pt;margin-top:13.05pt;width:325.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" filled="f" stroked="f" strokeweight=".5pt">
                <v:textbox>
                  <w:txbxContent>
                    <w:p w:rsidR="00157500" w:rsidRDefault="00157500" w:rsidP="0094612C">
                      <w:pPr>
                        <w:pStyle w:val="Paragrafobase"/>
                        <w:suppressAutoHyphens/>
                        <w:spacing w:line="240" w:lineRule="auto"/>
                        <w:ind w:left="284"/>
                        <w:jc w:val="both"/>
                        <w:rPr>
                          <w:rFonts w:ascii="DINPro-Regular" w:hAnsi="DINPro-Regular" w:cs="NettoOffc"/>
                          <w:sz w:val="14"/>
                        </w:rPr>
                      </w:pPr>
                      <w:r w:rsidRPr="00582FE0">
                        <w:rPr>
                          <w:rFonts w:ascii="DINPro-Regular" w:hAnsi="DINPro-Regular" w:cs="NettoOffc"/>
                          <w:sz w:val="14"/>
                        </w:rPr>
                        <w:t>Messaggio pubblicitario con finalità promozionale. La Banca si riserva il diritto di subordinare l'accesso al finanziamento ad una valutazione del merito creditizio. Per tutte le condizioni contrattuali ed economiche si rinvia ai fogli informativi a disposizione della clientela in ogni Filiale o su</w:t>
                      </w:r>
                      <w:r w:rsidRPr="00B706BB">
                        <w:rPr>
                          <w:rFonts w:ascii="DINPro-Regular" w:hAnsi="DINPro-Regular" w:cs="NettoOffc"/>
                          <w:sz w:val="14"/>
                        </w:rPr>
                        <w:t xml:space="preserve"> </w:t>
                      </w:r>
                      <w:r w:rsidRPr="0045295B">
                        <w:rPr>
                          <w:rFonts w:ascii="DINPro-Regular" w:hAnsi="DINPro-Regular" w:cs="NettoOffc"/>
                          <w:color w:val="0070C0"/>
                          <w:sz w:val="14"/>
                          <w:u w:val="single"/>
                        </w:rPr>
                        <w:t>www.bancosardegna.it</w:t>
                      </w:r>
                      <w:r w:rsidRPr="00B706BB">
                        <w:rPr>
                          <w:rFonts w:ascii="DINPro-Regular" w:hAnsi="DINPro-Regular" w:cs="NettoOffc"/>
                          <w:sz w:val="14"/>
                        </w:rPr>
                        <w:t xml:space="preserve">. </w:t>
                      </w:r>
                      <w:r>
                        <w:rPr>
                          <w:rFonts w:ascii="DINPro-Regular" w:hAnsi="DINPro-Regular" w:cs="NettoOffc"/>
                          <w:sz w:val="14"/>
                        </w:rPr>
                        <w:t xml:space="preserve">Offerta </w:t>
                      </w:r>
                      <w:r w:rsidRPr="00B706BB">
                        <w:rPr>
                          <w:rFonts w:ascii="DINPro-Regular" w:hAnsi="DINPro-Regular" w:cs="NettoOffc"/>
                          <w:sz w:val="14"/>
                        </w:rPr>
                        <w:t>valid</w:t>
                      </w:r>
                      <w:r>
                        <w:rPr>
                          <w:rFonts w:ascii="DINPro-Regular" w:hAnsi="DINPro-Regular" w:cs="NettoOffc"/>
                          <w:sz w:val="14"/>
                        </w:rPr>
                        <w:t>a</w:t>
                      </w:r>
                      <w:r w:rsidRPr="00B706BB">
                        <w:rPr>
                          <w:rFonts w:ascii="DINPro-Regular" w:hAnsi="DINPro-Regular" w:cs="NettoOffc"/>
                          <w:sz w:val="14"/>
                        </w:rPr>
                        <w:t xml:space="preserve"> fino al </w:t>
                      </w:r>
                      <w:r w:rsidRPr="00FF7D09">
                        <w:rPr>
                          <w:rFonts w:ascii="DINPro-Regular" w:hAnsi="DINPro-Regular" w:cs="NettoOffc"/>
                          <w:color w:val="auto"/>
                          <w:sz w:val="14"/>
                        </w:rPr>
                        <w:t>3</w:t>
                      </w:r>
                      <w:r>
                        <w:rPr>
                          <w:rFonts w:ascii="DINPro-Regular" w:hAnsi="DINPro-Regular" w:cs="NettoOffc"/>
                          <w:color w:val="auto"/>
                          <w:sz w:val="14"/>
                        </w:rPr>
                        <w:t>0</w:t>
                      </w:r>
                      <w:r w:rsidRPr="00FF7D09">
                        <w:rPr>
                          <w:rFonts w:ascii="DINPro-Regular" w:hAnsi="DINPro-Regular" w:cs="NettoOffc"/>
                          <w:color w:val="auto"/>
                          <w:sz w:val="14"/>
                        </w:rPr>
                        <w:t>/</w:t>
                      </w:r>
                      <w:r>
                        <w:rPr>
                          <w:rFonts w:ascii="DINPro-Regular" w:hAnsi="DINPro-Regular" w:cs="NettoOffc"/>
                          <w:color w:val="auto"/>
                          <w:sz w:val="14"/>
                        </w:rPr>
                        <w:t>06</w:t>
                      </w:r>
                      <w:r w:rsidRPr="00FF7D09">
                        <w:rPr>
                          <w:rFonts w:ascii="DINPro-Regular" w:hAnsi="DINPro-Regular" w:cs="NettoOffc"/>
                          <w:color w:val="auto"/>
                          <w:sz w:val="14"/>
                        </w:rPr>
                        <w:t>/20</w:t>
                      </w:r>
                      <w:r>
                        <w:rPr>
                          <w:rFonts w:ascii="DINPro-Regular" w:hAnsi="DINPro-Regular" w:cs="NettoOffc"/>
                          <w:color w:val="auto"/>
                          <w:sz w:val="14"/>
                        </w:rPr>
                        <w:t>20</w:t>
                      </w:r>
                      <w:r w:rsidRPr="00FF7D09">
                        <w:rPr>
                          <w:rFonts w:ascii="DINPro-Regular" w:hAnsi="DINPro-Regular" w:cs="NettoOffc"/>
                          <w:color w:val="auto"/>
                          <w:sz w:val="14"/>
                        </w:rPr>
                        <w:t>.</w:t>
                      </w:r>
                    </w:p>
                    <w:p w:rsidR="00157500" w:rsidRPr="003C054D" w:rsidRDefault="00157500" w:rsidP="0094612C">
                      <w:pPr>
                        <w:pStyle w:val="Paragrafobase"/>
                        <w:suppressAutoHyphens/>
                        <w:spacing w:line="240" w:lineRule="auto"/>
                        <w:ind w:left="284"/>
                        <w:rPr>
                          <w:rFonts w:ascii="DINPro-Regular" w:hAnsi="DINPro-Regular" w:cs="NettoOffc"/>
                          <w:color w:val="FF0000"/>
                          <w:sz w:val="14"/>
                        </w:rPr>
                      </w:pPr>
                    </w:p>
                  </w:txbxContent>
                </v:textbox>
              </v:shape>
            </w:pict>
          </mc:Fallback>
        </mc:AlternateContent>
      </w:r>
    </w:p>
    <w:p w:rsidR="0094612C" w:rsidRDefault="0094612C" w:rsidP="0094612C">
      <w:pPr>
        <w:spacing w:after="0"/>
        <w:rPr>
          <w:b/>
          <w:color w:val="006600"/>
        </w:rPr>
      </w:pPr>
    </w:p>
    <w:p w:rsidR="00A26ADD" w:rsidRPr="00EC0D57" w:rsidRDefault="00A26ADD" w:rsidP="00EC0D57">
      <w:pPr>
        <w:spacing w:after="0"/>
        <w:rPr>
          <w:b/>
          <w:color w:val="006600"/>
        </w:rPr>
      </w:pPr>
    </w:p>
    <w:sectPr w:rsidR="00A26ADD" w:rsidRPr="00EC0D5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80" w:rsidRDefault="00874980" w:rsidP="00A26ADD">
      <w:pPr>
        <w:spacing w:after="0" w:line="240" w:lineRule="auto"/>
      </w:pPr>
      <w:r>
        <w:separator/>
      </w:r>
    </w:p>
  </w:endnote>
  <w:endnote w:type="continuationSeparator" w:id="0">
    <w:p w:rsidR="00874980" w:rsidRDefault="00874980" w:rsidP="00A2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NettoOffc">
    <w:altName w:val="Netto Off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80" w:rsidRDefault="00874980" w:rsidP="00A26ADD">
      <w:pPr>
        <w:spacing w:after="0" w:line="240" w:lineRule="auto"/>
      </w:pPr>
      <w:r>
        <w:separator/>
      </w:r>
    </w:p>
  </w:footnote>
  <w:footnote w:type="continuationSeparator" w:id="0">
    <w:p w:rsidR="00874980" w:rsidRDefault="00874980" w:rsidP="00A26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636"/>
    <w:multiLevelType w:val="hybridMultilevel"/>
    <w:tmpl w:val="0694B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D46B09"/>
    <w:multiLevelType w:val="hybridMultilevel"/>
    <w:tmpl w:val="0B82C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1C7130"/>
    <w:multiLevelType w:val="hybridMultilevel"/>
    <w:tmpl w:val="11D67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B00C3C"/>
    <w:multiLevelType w:val="hybridMultilevel"/>
    <w:tmpl w:val="208CF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816A7D"/>
    <w:multiLevelType w:val="hybridMultilevel"/>
    <w:tmpl w:val="FC2A7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8D2BF2"/>
    <w:multiLevelType w:val="hybridMultilevel"/>
    <w:tmpl w:val="4CA81E9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DA"/>
    <w:rsid w:val="00054E62"/>
    <w:rsid w:val="00061203"/>
    <w:rsid w:val="000B682C"/>
    <w:rsid w:val="00134A0D"/>
    <w:rsid w:val="00157500"/>
    <w:rsid w:val="001818DD"/>
    <w:rsid w:val="00205A6F"/>
    <w:rsid w:val="00216048"/>
    <w:rsid w:val="00241F33"/>
    <w:rsid w:val="002C7F94"/>
    <w:rsid w:val="002F19CC"/>
    <w:rsid w:val="0044673B"/>
    <w:rsid w:val="004B6BE6"/>
    <w:rsid w:val="00580297"/>
    <w:rsid w:val="0059190E"/>
    <w:rsid w:val="005D268B"/>
    <w:rsid w:val="006402A6"/>
    <w:rsid w:val="006637D4"/>
    <w:rsid w:val="00675423"/>
    <w:rsid w:val="00874980"/>
    <w:rsid w:val="008D52DA"/>
    <w:rsid w:val="0094612C"/>
    <w:rsid w:val="00A26ADD"/>
    <w:rsid w:val="00A50675"/>
    <w:rsid w:val="00A637F4"/>
    <w:rsid w:val="00AB1330"/>
    <w:rsid w:val="00C42100"/>
    <w:rsid w:val="00C94897"/>
    <w:rsid w:val="00CE2846"/>
    <w:rsid w:val="00E50F7B"/>
    <w:rsid w:val="00EC0D57"/>
    <w:rsid w:val="00EF6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D5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52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2DA"/>
    <w:rPr>
      <w:rFonts w:ascii="Tahoma" w:hAnsi="Tahoma" w:cs="Tahoma"/>
      <w:sz w:val="16"/>
      <w:szCs w:val="16"/>
    </w:rPr>
  </w:style>
  <w:style w:type="table" w:styleId="Grigliatabella">
    <w:name w:val="Table Grid"/>
    <w:basedOn w:val="Tabellanormale"/>
    <w:uiPriority w:val="59"/>
    <w:rsid w:val="008D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D52D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5D268B"/>
    <w:rPr>
      <w:color w:val="0000FF" w:themeColor="hyperlink"/>
      <w:u w:val="single"/>
    </w:rPr>
  </w:style>
  <w:style w:type="character" w:styleId="Collegamentovisitato">
    <w:name w:val="FollowedHyperlink"/>
    <w:basedOn w:val="Carpredefinitoparagrafo"/>
    <w:uiPriority w:val="99"/>
    <w:semiHidden/>
    <w:unhideWhenUsed/>
    <w:rsid w:val="005D268B"/>
    <w:rPr>
      <w:color w:val="800080" w:themeColor="followedHyperlink"/>
      <w:u w:val="single"/>
    </w:rPr>
  </w:style>
  <w:style w:type="paragraph" w:styleId="Paragrafoelenco">
    <w:name w:val="List Paragraph"/>
    <w:basedOn w:val="Normale"/>
    <w:uiPriority w:val="34"/>
    <w:qFormat/>
    <w:rsid w:val="00054E62"/>
    <w:pPr>
      <w:ind w:left="720"/>
      <w:contextualSpacing/>
    </w:pPr>
  </w:style>
  <w:style w:type="paragraph" w:styleId="Intestazione">
    <w:name w:val="header"/>
    <w:basedOn w:val="Normale"/>
    <w:link w:val="IntestazioneCarattere"/>
    <w:uiPriority w:val="99"/>
    <w:unhideWhenUsed/>
    <w:rsid w:val="00A26A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6ADD"/>
  </w:style>
  <w:style w:type="paragraph" w:styleId="Pidipagina">
    <w:name w:val="footer"/>
    <w:basedOn w:val="Normale"/>
    <w:link w:val="PidipaginaCarattere"/>
    <w:uiPriority w:val="99"/>
    <w:unhideWhenUsed/>
    <w:rsid w:val="00A26A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6ADD"/>
  </w:style>
  <w:style w:type="paragraph" w:customStyle="1" w:styleId="Paragrafobase">
    <w:name w:val="[Paragrafo base]"/>
    <w:basedOn w:val="Normale"/>
    <w:uiPriority w:val="99"/>
    <w:rsid w:val="00A26AD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D5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52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2DA"/>
    <w:rPr>
      <w:rFonts w:ascii="Tahoma" w:hAnsi="Tahoma" w:cs="Tahoma"/>
      <w:sz w:val="16"/>
      <w:szCs w:val="16"/>
    </w:rPr>
  </w:style>
  <w:style w:type="table" w:styleId="Grigliatabella">
    <w:name w:val="Table Grid"/>
    <w:basedOn w:val="Tabellanormale"/>
    <w:uiPriority w:val="59"/>
    <w:rsid w:val="008D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D52D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5D268B"/>
    <w:rPr>
      <w:color w:val="0000FF" w:themeColor="hyperlink"/>
      <w:u w:val="single"/>
    </w:rPr>
  </w:style>
  <w:style w:type="character" w:styleId="Collegamentovisitato">
    <w:name w:val="FollowedHyperlink"/>
    <w:basedOn w:val="Carpredefinitoparagrafo"/>
    <w:uiPriority w:val="99"/>
    <w:semiHidden/>
    <w:unhideWhenUsed/>
    <w:rsid w:val="005D268B"/>
    <w:rPr>
      <w:color w:val="800080" w:themeColor="followedHyperlink"/>
      <w:u w:val="single"/>
    </w:rPr>
  </w:style>
  <w:style w:type="paragraph" w:styleId="Paragrafoelenco">
    <w:name w:val="List Paragraph"/>
    <w:basedOn w:val="Normale"/>
    <w:uiPriority w:val="34"/>
    <w:qFormat/>
    <w:rsid w:val="00054E62"/>
    <w:pPr>
      <w:ind w:left="720"/>
      <w:contextualSpacing/>
    </w:pPr>
  </w:style>
  <w:style w:type="paragraph" w:styleId="Intestazione">
    <w:name w:val="header"/>
    <w:basedOn w:val="Normale"/>
    <w:link w:val="IntestazioneCarattere"/>
    <w:uiPriority w:val="99"/>
    <w:unhideWhenUsed/>
    <w:rsid w:val="00A26A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6ADD"/>
  </w:style>
  <w:style w:type="paragraph" w:styleId="Pidipagina">
    <w:name w:val="footer"/>
    <w:basedOn w:val="Normale"/>
    <w:link w:val="PidipaginaCarattere"/>
    <w:uiPriority w:val="99"/>
    <w:unhideWhenUsed/>
    <w:rsid w:val="00A26A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6ADD"/>
  </w:style>
  <w:style w:type="paragraph" w:customStyle="1" w:styleId="Paragrafobase">
    <w:name w:val="[Paragrafo base]"/>
    <w:basedOn w:val="Normale"/>
    <w:uiPriority w:val="99"/>
    <w:rsid w:val="00A26AD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sardegn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cosarde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GBBPER</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Carboni Luca Maurizio</dc:creator>
  <cp:lastModifiedBy>Michalette Matteo </cp:lastModifiedBy>
  <cp:revision>8</cp:revision>
  <dcterms:created xsi:type="dcterms:W3CDTF">2020-03-18T12:59:00Z</dcterms:created>
  <dcterms:modified xsi:type="dcterms:W3CDTF">2020-03-18T14:47:00Z</dcterms:modified>
</cp:coreProperties>
</file>